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"/>
        <w:gridCol w:w="4252"/>
        <w:gridCol w:w="1134"/>
        <w:gridCol w:w="4110"/>
        <w:gridCol w:w="832"/>
      </w:tblGrid>
      <w:tr w:rsidR="002B3038" w:rsidTr="002B3038">
        <w:trPr>
          <w:gridBefore w:val="1"/>
          <w:gridAfter w:val="1"/>
          <w:wBefore w:w="38" w:type="dxa"/>
          <w:wAfter w:w="832" w:type="dxa"/>
          <w:cantSplit/>
        </w:trPr>
        <w:tc>
          <w:tcPr>
            <w:tcW w:w="4253" w:type="dxa"/>
            <w:hideMark/>
          </w:tcPr>
          <w:p w:rsidR="002B3038" w:rsidRDefault="002B303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2B3038" w:rsidRDefault="002B30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2B3038" w:rsidRDefault="002B30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2B3038" w:rsidRDefault="002B30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2B3038" w:rsidRDefault="002B30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2B3038" w:rsidRDefault="002B303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2B3038" w:rsidRDefault="002B303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2B3038" w:rsidRDefault="002B30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2B3038" w:rsidRDefault="002B30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2B3038" w:rsidRDefault="002B303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2B3038" w:rsidRDefault="002B30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2B3038" w:rsidRDefault="002B30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2B3038" w:rsidRDefault="002B30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2B3038" w:rsidRDefault="002B303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2B3038" w:rsidTr="002B3038">
        <w:trPr>
          <w:gridBefore w:val="1"/>
          <w:gridAfter w:val="1"/>
          <w:wBefore w:w="38" w:type="dxa"/>
          <w:wAfter w:w="832" w:type="dxa"/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3038" w:rsidRDefault="002B303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B3038" w:rsidRDefault="002B30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2B3038" w:rsidRDefault="002B30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2B3038" w:rsidRDefault="002B30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B3038" w:rsidRDefault="002B303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B3038" w:rsidRDefault="002B303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3038" w:rsidRDefault="002B303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2B3038" w:rsidRDefault="002B30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2B3038" w:rsidRDefault="002B30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2B3038" w:rsidRDefault="002B303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2B3038" w:rsidRDefault="002B303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  <w:tr w:rsidR="002B3038" w:rsidTr="002B3038">
        <w:trPr>
          <w:trHeight w:val="431"/>
        </w:trPr>
        <w:tc>
          <w:tcPr>
            <w:tcW w:w="103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038" w:rsidRDefault="002B3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B3038" w:rsidRDefault="002B3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B3038" w:rsidRDefault="002B3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B3038" w:rsidRDefault="002B3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B3038" w:rsidRDefault="002B303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63                                                                                  от 18 сентября 2015 г.</w:t>
            </w:r>
          </w:p>
          <w:p w:rsidR="002B3038" w:rsidRDefault="002B3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B3038" w:rsidRDefault="002B3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B3038" w:rsidRDefault="002B3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Правил присвоения, изменения </w:t>
            </w:r>
          </w:p>
          <w:p w:rsidR="002B3038" w:rsidRDefault="002B30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аннулирования адресов</w:t>
            </w:r>
          </w:p>
        </w:tc>
      </w:tr>
    </w:tbl>
    <w:p w:rsidR="002B3038" w:rsidRDefault="002B3038" w:rsidP="002B3038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2B3038" w:rsidRDefault="002B3038" w:rsidP="002B303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Шиньшинского сельского поселения</w:t>
      </w:r>
      <w:r>
        <w:rPr>
          <w:b/>
          <w:sz w:val="28"/>
          <w:szCs w:val="28"/>
        </w:rPr>
        <w:t xml:space="preserve">  ПОСТАНОВЛЯЕТ:</w:t>
      </w:r>
    </w:p>
    <w:p w:rsidR="002B3038" w:rsidRDefault="002B3038" w:rsidP="002B30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Правила присвоения, изменения и аннулирования адресов.</w:t>
      </w:r>
    </w:p>
    <w:p w:rsidR="002B3038" w:rsidRDefault="002B3038" w:rsidP="002B303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газете «Моркинская земля».</w:t>
      </w:r>
    </w:p>
    <w:p w:rsidR="002B3038" w:rsidRDefault="002B3038" w:rsidP="002B3038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2B3038" w:rsidRDefault="002B3038" w:rsidP="002B303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 МО</w:t>
      </w:r>
    </w:p>
    <w:p w:rsidR="002B3038" w:rsidRDefault="002B3038" w:rsidP="002B303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"Шиньшинское сельское поселение"                      П.С.Иванова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2B3038" w:rsidRDefault="002B3038" w:rsidP="002B3038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2B3038" w:rsidRDefault="002B3038" w:rsidP="002B30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3038" w:rsidRDefault="002B3038" w:rsidP="002B3038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3038" w:rsidRDefault="002B3038" w:rsidP="002B30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УТВЕРЖДЕНЫ</w:t>
      </w:r>
    </w:p>
    <w:p w:rsidR="002B3038" w:rsidRDefault="002B3038" w:rsidP="002B30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2B3038" w:rsidRDefault="002B3038" w:rsidP="002B30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сельского поселения</w:t>
      </w:r>
    </w:p>
    <w:p w:rsidR="002B3038" w:rsidRDefault="002B3038" w:rsidP="002B3038">
      <w:pPr>
        <w:jc w:val="right"/>
      </w:pPr>
      <w:r>
        <w:t xml:space="preserve">                                                                                                                     от   18.09.15    № 63</w:t>
      </w:r>
    </w:p>
    <w:p w:rsidR="002B3038" w:rsidRDefault="002B3038" w:rsidP="002B3038">
      <w:r>
        <w:t xml:space="preserve">     </w:t>
      </w:r>
    </w:p>
    <w:p w:rsidR="002B3038" w:rsidRDefault="002B3038" w:rsidP="002B303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ПРАВИЛА</w:t>
      </w:r>
    </w:p>
    <w:p w:rsidR="002B3038" w:rsidRDefault="002B3038" w:rsidP="002B303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присвоения, изменения и аннулирования адресов</w:t>
      </w:r>
    </w:p>
    <w:p w:rsidR="002B3038" w:rsidRDefault="002B3038" w:rsidP="002B3038">
      <w:pPr>
        <w:autoSpaceDE w:val="0"/>
        <w:autoSpaceDN w:val="0"/>
        <w:adjustRightInd w:val="0"/>
        <w:jc w:val="center"/>
        <w:outlineLvl w:val="0"/>
      </w:pPr>
    </w:p>
    <w:p w:rsidR="002B3038" w:rsidRDefault="002B3038" w:rsidP="002B30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«элемент улично-дорожной сети» - улица, проспект, переулок, проезд, набережная, площадь, бульвар, тупик, съезд, шоссе, аллея и иное.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8"/>
      <w:bookmarkEnd w:id="0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B3038" w:rsidRDefault="002B3038" w:rsidP="002B30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50"/>
      <w:bookmarkEnd w:id="1"/>
      <w:r>
        <w:rPr>
          <w:b/>
        </w:rPr>
        <w:t>II. Порядок присвоения объекту адресации адреса, изменения</w:t>
      </w:r>
    </w:p>
    <w:p w:rsidR="002B3038" w:rsidRDefault="002B3038" w:rsidP="002B303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аннулирования такого адреса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Администрацией Шиньшинского сельского поселения (далее - Администрацией) в виде постановления, с использованием федеральной информационной адресной системы.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6" w:anchor="Par108" w:tooltip="Ссылка на текущий документ" w:history="1">
        <w:r>
          <w:rPr>
            <w:rStyle w:val="a3"/>
            <w:color w:val="auto"/>
            <w:u w:val="none"/>
          </w:rPr>
          <w:t>пунктах 27</w:t>
        </w:r>
      </w:hyperlink>
      <w:r>
        <w:t xml:space="preserve"> и </w:t>
      </w:r>
      <w:hyperlink r:id="rId7" w:anchor="Par114" w:tooltip="Ссылка на текущий документ" w:history="1">
        <w:r>
          <w:rPr>
            <w:rStyle w:val="a3"/>
            <w:color w:val="auto"/>
            <w:u w:val="none"/>
          </w:rPr>
          <w:t>29</w:t>
        </w:r>
      </w:hyperlink>
      <w:r>
        <w:t xml:space="preserve">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5"/>
      <w:bookmarkEnd w:id="2"/>
      <w:r>
        <w:t>8. Присвоение объекту адресации адреса осуществляется: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в отношении земельных участков в случаях: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выдачи (получения) разрешения на строительство здания или сооружения;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в отношении помещений в случаях: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7"/>
      <w:bookmarkEnd w:id="3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0"/>
      <w:bookmarkEnd w:id="4"/>
      <w:r>
        <w:t>14. Аннулирование адреса объекта адресации осуществляется в случаях: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1"/>
      <w:bookmarkEnd w:id="5"/>
      <w:r>
        <w:t>а) прекращения существования объекта адресации;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2"/>
      <w:bookmarkEnd w:id="6"/>
      <w: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присвоения объекту адресации нового адреса.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дастра недвижимости.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7"/>
      <w:bookmarkEnd w:id="7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19. При присвоении объекту адресации адреса или аннулировании его адреса Администрация обязана: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21. Решение Администрации о присвоении объекту адресации адреса принимается одновременно: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г) с утверждением проекта планировки территории;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д) с принятием решения о строительстве объекта адресации.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22. Решение Администрации о присвоении объекту адресации адреса содержит: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присвоенный объекту адресации адрес;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реквизиты и наименования документов, на основании которых принято решение о присвоении адреса;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описание местоположения объекта адресации;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кадастровые номера, адреса и сведения об объектах недвижимости, из которых образуется объект адресации;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23. Решение Администрации об аннулировании адреса объекта адресации содержит: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аннулируемый адрес объекта адресации;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уникальный номер аннулируемого адреса объекта адресации в государственном адресном реестре;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причину аннулирования адреса объекта адресации;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5"/>
      <w:bookmarkEnd w:id="8"/>
      <w: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>
        <w:lastRenderedPageBreak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право хозяйственного ведения;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право оперативного управления;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право пожизненно наследуемого владения;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г) право постоянного (бессрочного) пользования.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Заявление составляется лицами, указанными в </w:t>
      </w:r>
      <w:hyperlink r:id="rId8" w:anchor="Par105" w:tooltip="Ссылка на текущий документ" w:history="1">
        <w:r>
          <w:rPr>
            <w:rStyle w:val="a3"/>
            <w:color w:val="auto"/>
            <w:u w:val="none"/>
          </w:rPr>
          <w:t>пункте 24</w:t>
        </w:r>
      </w:hyperlink>
      <w: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4"/>
      <w:bookmarkEnd w:id="10"/>
      <w: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представляется в Администрацию или многофункциональный центр по месту нахождения объекта адресации.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8"/>
      <w:bookmarkEnd w:id="11"/>
      <w:r>
        <w:t>34. К заявлению прилагаются следующие документы: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9" w:anchor="Par71" w:tooltip="Ссылка на текущий документ" w:history="1">
        <w:r>
          <w:rPr>
            <w:rStyle w:val="a3"/>
            <w:color w:val="auto"/>
            <w:u w:val="none"/>
          </w:rPr>
          <w:t>подпункте «а» пункта 14</w:t>
        </w:r>
      </w:hyperlink>
      <w:r>
        <w:t xml:space="preserve"> настоящих Правил);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anchor="Par72" w:tooltip="Ссылка на текущий документ" w:history="1">
        <w:r>
          <w:rPr>
            <w:rStyle w:val="a3"/>
            <w:color w:val="auto"/>
            <w:u w:val="none"/>
          </w:rPr>
          <w:t>подпункте «б» пункта 14</w:t>
        </w:r>
      </w:hyperlink>
      <w:r>
        <w:t xml:space="preserve"> настоящих Правил).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35. Администрация запрашивает документы, указанные в </w:t>
      </w:r>
      <w:hyperlink r:id="rId11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</w:t>
      </w:r>
      <w:r>
        <w:lastRenderedPageBreak/>
        <w:t xml:space="preserve">документы, указанные в </w:t>
      </w:r>
      <w:hyperlink r:id="rId12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указанные в </w:t>
      </w:r>
      <w:hyperlink r:id="rId13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Если заявление и документы, указанные в </w:t>
      </w:r>
      <w:hyperlink r:id="rId14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заявление и документы, указанные в </w:t>
      </w:r>
      <w:hyperlink r:id="rId15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Получение заявления и документов, указанных в </w:t>
      </w:r>
      <w:hyperlink r:id="rId16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17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r:id="rId18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46"/>
      <w:bookmarkEnd w:id="12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47"/>
      <w:bookmarkEnd w:id="13"/>
      <w:r>
        <w:t xml:space="preserve">38. В случае представления заявления через многофункциональный центр срок, указанный в </w:t>
      </w:r>
      <w:hyperlink r:id="rId19" w:anchor="Par146" w:tooltip="Ссылка на текущий документ" w:history="1">
        <w:r>
          <w:rPr>
            <w:rStyle w:val="a3"/>
            <w:color w:val="auto"/>
            <w:u w:val="none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20" w:anchor="Par128" w:tooltip="Ссылка на текущий документ" w:history="1">
        <w:r>
          <w:rPr>
            <w:rStyle w:val="a3"/>
            <w:color w:val="auto"/>
            <w:u w:val="none"/>
          </w:rPr>
          <w:t>пункте 34</w:t>
        </w:r>
      </w:hyperlink>
      <w:r>
        <w:t xml:space="preserve"> настоящих Правил (при их наличии), в Администрацию.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21" w:anchor="Par146" w:tooltip="Ссылка на текущий документ" w:history="1">
        <w:r>
          <w:rPr>
            <w:rStyle w:val="a3"/>
            <w:color w:val="auto"/>
            <w:u w:val="none"/>
          </w:rPr>
          <w:t>пунктах 37</w:t>
        </w:r>
      </w:hyperlink>
      <w:r>
        <w:t xml:space="preserve"> и </w:t>
      </w:r>
      <w:hyperlink r:id="rId22" w:anchor="Par147" w:tooltip="Ссылка на текущий документ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3" w:anchor="Par146" w:tooltip="Ссылка на текущий документ" w:history="1">
        <w:r>
          <w:rPr>
            <w:rStyle w:val="a3"/>
            <w:color w:val="auto"/>
            <w:u w:val="none"/>
          </w:rPr>
          <w:t>пунктами 37</w:t>
        </w:r>
      </w:hyperlink>
      <w:r>
        <w:t xml:space="preserve"> и </w:t>
      </w:r>
      <w:hyperlink r:id="rId24" w:anchor="Par147" w:tooltip="Ссылка на текущий документ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 срока посредством почтового отправления по </w:t>
      </w:r>
      <w:r>
        <w:lastRenderedPageBreak/>
        <w:t>указанному в заявлении почтовому адресу.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5" w:anchor="Par146" w:tooltip="Ссылка на текущий документ" w:history="1">
        <w:r>
          <w:rPr>
            <w:rStyle w:val="a3"/>
            <w:color w:val="auto"/>
            <w:u w:val="none"/>
          </w:rPr>
          <w:t>пунктами 37</w:t>
        </w:r>
      </w:hyperlink>
      <w:r>
        <w:t xml:space="preserve"> и </w:t>
      </w:r>
      <w:hyperlink r:id="rId26" w:anchor="Par147" w:tooltip="Ссылка на текущий документ" w:history="1">
        <w:r>
          <w:rPr>
            <w:rStyle w:val="a3"/>
            <w:color w:val="auto"/>
            <w:u w:val="none"/>
          </w:rPr>
          <w:t>38</w:t>
        </w:r>
      </w:hyperlink>
      <w:r>
        <w:t xml:space="preserve"> настоящих Правил.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52"/>
      <w:bookmarkEnd w:id="14"/>
      <w:r>
        <w:t>40. В присвоении объекту адресации адреса или аннулировании его адреса может быть отказано в случаях, если: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r:id="rId27" w:anchor="Par108" w:tooltip="Ссылка на текущий документ" w:history="1">
        <w:r>
          <w:rPr>
            <w:rStyle w:val="a3"/>
            <w:color w:val="auto"/>
            <w:u w:val="none"/>
          </w:rPr>
          <w:t>пунктах 27</w:t>
        </w:r>
      </w:hyperlink>
      <w:r>
        <w:t xml:space="preserve"> и </w:t>
      </w:r>
      <w:hyperlink r:id="rId28" w:anchor="Par114" w:tooltip="Ссылка на текущий документ" w:history="1">
        <w:r>
          <w:rPr>
            <w:rStyle w:val="a3"/>
            <w:color w:val="auto"/>
            <w:u w:val="none"/>
          </w:rPr>
          <w:t>29</w:t>
        </w:r>
      </w:hyperlink>
      <w:r>
        <w:t xml:space="preserve"> настоящих Правил;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9" w:anchor="Par48" w:tooltip="Ссылка на текущий документ" w:history="1">
        <w:r>
          <w:rPr>
            <w:rStyle w:val="a3"/>
            <w:color w:val="auto"/>
            <w:u w:val="none"/>
          </w:rPr>
          <w:t>пунктах 5</w:t>
        </w:r>
      </w:hyperlink>
      <w:r>
        <w:t xml:space="preserve">, </w:t>
      </w:r>
      <w:hyperlink r:id="rId30" w:anchor="Par55" w:tooltip="Ссылка на текущий документ" w:history="1">
        <w:r>
          <w:rPr>
            <w:rStyle w:val="a3"/>
            <w:color w:val="auto"/>
            <w:u w:val="none"/>
          </w:rPr>
          <w:t>8</w:t>
        </w:r>
      </w:hyperlink>
      <w:r>
        <w:t xml:space="preserve"> - </w:t>
      </w:r>
      <w:hyperlink r:id="rId31" w:anchor="Par67" w:tooltip="Ссылка на текущий документ" w:history="1">
        <w:r>
          <w:rPr>
            <w:rStyle w:val="a3"/>
            <w:color w:val="auto"/>
            <w:u w:val="none"/>
          </w:rPr>
          <w:t>11</w:t>
        </w:r>
      </w:hyperlink>
      <w:r>
        <w:t xml:space="preserve"> и </w:t>
      </w:r>
      <w:hyperlink r:id="rId32" w:anchor="Par70" w:tooltip="Ссылка на текущий документ" w:history="1">
        <w:r>
          <w:rPr>
            <w:rStyle w:val="a3"/>
            <w:color w:val="auto"/>
            <w:u w:val="none"/>
          </w:rPr>
          <w:t>14</w:t>
        </w:r>
      </w:hyperlink>
      <w:r>
        <w:t xml:space="preserve"> - </w:t>
      </w:r>
      <w:hyperlink r:id="rId33" w:anchor="Par77" w:tooltip="Ссылка на текущий документ" w:history="1">
        <w:r>
          <w:rPr>
            <w:rStyle w:val="a3"/>
            <w:color w:val="auto"/>
            <w:u w:val="none"/>
          </w:rPr>
          <w:t>18</w:t>
        </w:r>
      </w:hyperlink>
      <w:r>
        <w:t xml:space="preserve"> настоящих Правил.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4" w:anchor="Par152" w:tooltip="Ссылка на текущий документ" w:history="1">
        <w:r>
          <w:rPr>
            <w:rStyle w:val="a3"/>
            <w:color w:val="auto"/>
            <w:u w:val="none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B3038" w:rsidRDefault="002B3038" w:rsidP="002B3038">
      <w:pPr>
        <w:widowControl w:val="0"/>
        <w:autoSpaceDE w:val="0"/>
        <w:autoSpaceDN w:val="0"/>
        <w:adjustRightInd w:val="0"/>
        <w:jc w:val="center"/>
      </w:pPr>
    </w:p>
    <w:p w:rsidR="002B3038" w:rsidRDefault="002B3038" w:rsidP="002B30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5" w:name="Par161"/>
      <w:bookmarkEnd w:id="15"/>
      <w:r>
        <w:rPr>
          <w:b/>
        </w:rPr>
        <w:t>III. Структура адреса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63"/>
      <w:bookmarkEnd w:id="16"/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страны (Российская Федерация);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субъекта Российской Федерации;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наименование муниципального района;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г) наименование сельского поселения в составе муниципального района;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д) наименование населенного пункта;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е) наименование элемента планировочной структуры;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ж) наименование элемента улично-дорожной сети;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з) номер земельного участка;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к) тип и номер помещения, расположенного в здании или сооружении.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35" w:anchor="Par163" w:tooltip="Ссылка на текущий документ" w:history="1">
        <w:r>
          <w:rPr>
            <w:rStyle w:val="a3"/>
            <w:color w:val="auto"/>
            <w:u w:val="none"/>
          </w:rPr>
          <w:t>пункте 44</w:t>
        </w:r>
      </w:hyperlink>
      <w:r>
        <w:t xml:space="preserve"> настоящих Правил.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76"/>
      <w:bookmarkEnd w:id="17"/>
      <w:r>
        <w:t>47. Обязательными адресообразующими элементами для всех видов объектов адресации являются: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а) страна;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субъект Российской Федерации;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муниципальный район;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г) сельское поселение в составе муниципального района;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д) населенный пункт.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48. Иные адресообразующие элементы применяются в зависимости от вида объекта адресации.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36" w:anchor="Par176" w:tooltip="Ссылка на текущий документ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номер земельного участка.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37" w:anchor="Par176" w:tooltip="Ссылка на текущий документ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38" w:anchor="Par176" w:tooltip="Ссылка на текущий документ" w:history="1">
        <w:r>
          <w:rPr>
            <w:rStyle w:val="a3"/>
            <w:color w:val="auto"/>
            <w:u w:val="none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тип и номер здания, сооружения;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г) тип и номер помещения в пределах здания, сооружения;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jc w:val="center"/>
      </w:pPr>
    </w:p>
    <w:p w:rsidR="002B3038" w:rsidRDefault="002B3038" w:rsidP="002B303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8" w:name="Par199"/>
      <w:bookmarkEnd w:id="18"/>
      <w:r>
        <w:rPr>
          <w:b/>
        </w:rPr>
        <w:t>IV. Правила написания наименований и нумерации объектов адресации</w:t>
      </w:r>
    </w:p>
    <w:p w:rsidR="002B3038" w:rsidRDefault="002B3038" w:rsidP="002B3038">
      <w:pPr>
        <w:widowControl w:val="0"/>
        <w:autoSpaceDE w:val="0"/>
        <w:autoSpaceDN w:val="0"/>
        <w:adjustRightInd w:val="0"/>
        <w:jc w:val="center"/>
      </w:pP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а) «-» - дефис;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б) «.» - точка;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в) «(» - открывающая круглая скобка;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г) «)» - закрывающая круглая скобка;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д) «№» - знак номера.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</w:t>
      </w:r>
      <w:r>
        <w:lastRenderedPageBreak/>
        <w:t>использованием меньшего номера соответствующего объекта адресации путем добавления к нему буквенного индекса.</w:t>
      </w:r>
    </w:p>
    <w:p w:rsidR="002B3038" w:rsidRDefault="002B3038" w:rsidP="002B3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3038" w:rsidRDefault="002B3038" w:rsidP="002B3038">
      <w:pPr>
        <w:autoSpaceDE w:val="0"/>
        <w:autoSpaceDN w:val="0"/>
        <w:adjustRightInd w:val="0"/>
        <w:outlineLvl w:val="0"/>
      </w:pPr>
    </w:p>
    <w:p w:rsidR="002B3038" w:rsidRDefault="002B3038" w:rsidP="002B3038">
      <w:pPr>
        <w:autoSpaceDE w:val="0"/>
        <w:autoSpaceDN w:val="0"/>
        <w:adjustRightInd w:val="0"/>
        <w:jc w:val="center"/>
        <w:outlineLvl w:val="0"/>
      </w:pPr>
    </w:p>
    <w:p w:rsidR="002B3038" w:rsidRDefault="002B3038" w:rsidP="002B3038"/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038"/>
    <w:rsid w:val="002B3038"/>
    <w:rsid w:val="005B0B96"/>
    <w:rsid w:val="0086508C"/>
    <w:rsid w:val="009E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303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303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B3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3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3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18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6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4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0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9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11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4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2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7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40" Type="http://schemas.openxmlformats.org/officeDocument/2006/relationships/theme" Target="theme/theme1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3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8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6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10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19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1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44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14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2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7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0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5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17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25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3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Relationship Id="rId38" Type="http://schemas.openxmlformats.org/officeDocument/2006/relationships/hyperlink" Target="file:///D:/KINGSTON%20(F)/&#1087;&#1088;&#1080;&#1089;&#1074;&#1086;&#1077;&#1085;&#1080;&#1077;,%20&#1080;&#1079;&#1084;&#1077;&#1085;&#1077;&#1085;&#1080;&#1077;%20&#1072;&#1085;&#1085;&#1091;&#1083;&#1080;&#1088;&#1086;&#1074;&#1072;&#1085;&#1080;&#1077;%20&#1072;&#1076;&#1088;&#1077;&#1089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Правил присвоения, изменения 
и аннулирования адресов
</_x041e__x043f__x0438__x0441__x0430__x043d__x0438__x0435_>
    <_x2116__x0020__x0434__x043e__x043a__x0443__x043c__x0435__x043d__x0442__x0430_ xmlns="863b7f7b-da84-46a0-829e-ff86d1b7a783">63</_x2116__x0020__x0434__x043e__x043a__x0443__x043c__x0435__x043d__x0442__x0430_>
    <_x0414__x0430__x0442__x0430__x0020__x0434__x043e__x043a__x0443__x043c__x0435__x043d__x0442__x0430_ xmlns="863b7f7b-da84-46a0-829e-ff86d1b7a783">2015-09-17T20:00:00+00:00</_x0414__x0430__x0442__x0430__x0020__x0434__x043e__x043a__x0443__x043c__x0435__x043d__x0442__x0430_>
    <_dlc_DocId xmlns="57504d04-691e-4fc4-8f09-4f19fdbe90f6">XXJ7TYMEEKJ2-4367-85</_dlc_DocId>
    <_dlc_DocIdUrl xmlns="57504d04-691e-4fc4-8f09-4f19fdbe90f6">
      <Url>http://spsearch.gov.mari.ru:32643/morki/shinsha/_layouts/DocIdRedir.aspx?ID=XXJ7TYMEEKJ2-4367-85</Url>
      <Description>XXJ7TYMEEKJ2-4367-85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600B3-CBFD-48E4-8DDD-437BE8C3456A}"/>
</file>

<file path=customXml/itemProps2.xml><?xml version="1.0" encoding="utf-8"?>
<ds:datastoreItem xmlns:ds="http://schemas.openxmlformats.org/officeDocument/2006/customXml" ds:itemID="{D7532DF1-F889-4B95-8CB4-23B18A4EA07E}"/>
</file>

<file path=customXml/itemProps3.xml><?xml version="1.0" encoding="utf-8"?>
<ds:datastoreItem xmlns:ds="http://schemas.openxmlformats.org/officeDocument/2006/customXml" ds:itemID="{688B4329-8296-44C7-8722-68A248BE1708}"/>
</file>

<file path=customXml/itemProps4.xml><?xml version="1.0" encoding="utf-8"?>
<ds:datastoreItem xmlns:ds="http://schemas.openxmlformats.org/officeDocument/2006/customXml" ds:itemID="{5B4216BD-431F-4974-B920-615A14F8D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6284</Words>
  <Characters>35820</Characters>
  <Application>Microsoft Office Word</Application>
  <DocSecurity>0</DocSecurity>
  <Lines>298</Lines>
  <Paragraphs>84</Paragraphs>
  <ScaleCrop>false</ScaleCrop>
  <Company>Microsoft</Company>
  <LinksUpToDate>false</LinksUpToDate>
  <CharactersWithSpaces>42020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18.09.2015</dc:title>
  <dc:subject/>
  <dc:creator>Admin</dc:creator>
  <cp:keywords/>
  <dc:description/>
  <cp:lastModifiedBy>Admin</cp:lastModifiedBy>
  <cp:revision>2</cp:revision>
  <dcterms:created xsi:type="dcterms:W3CDTF">2000-12-01T13:00:00Z</dcterms:created>
  <dcterms:modified xsi:type="dcterms:W3CDTF">2000-12-01T13:00:00Z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67ede2ed-a6be-425f-8f5c-65cdbd07afd6</vt:lpwstr>
  </property>
</Properties>
</file>